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15583">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附件</w:t>
      </w: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3</w:t>
      </w:r>
    </w:p>
    <w:p w14:paraId="14EF83AC">
      <w:pPr>
        <w:pStyle w:val="4"/>
        <w:keepNext w:val="0"/>
        <w:keepLines w:val="0"/>
        <w:pageBreakBefore w:val="0"/>
        <w:widowControl w:val="0"/>
        <w:kinsoku/>
        <w:overflowPunct/>
        <w:topLinePunct w:val="0"/>
        <w:autoSpaceDE/>
        <w:autoSpaceDN/>
        <w:bidi w:val="0"/>
        <w:spacing w:line="560" w:lineRule="exact"/>
        <w:textAlignment w:val="auto"/>
        <w:rPr>
          <w:rFonts w:hint="default"/>
          <w:color w:val="000000" w:themeColor="text1"/>
          <w:lang w:val="en-US" w:eastAsia="zh-CN"/>
          <w14:textFill>
            <w14:solidFill>
              <w14:schemeClr w14:val="tx1"/>
            </w14:solidFill>
          </w14:textFill>
        </w:rPr>
      </w:pPr>
    </w:p>
    <w:p w14:paraId="3E13EAB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outlineLvl w:val="0"/>
        <w:rPr>
          <w:rFonts w:hint="default"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巴彦淖尔市2026年适老化家居</w:t>
      </w:r>
      <w:r>
        <w:rPr>
          <w:rFonts w:hint="default"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购新补贴</w:t>
      </w:r>
    </w:p>
    <w:p w14:paraId="17B051A6">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outlineLvl w:val="0"/>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default"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活动</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参与</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商家</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承诺函</w:t>
      </w:r>
    </w:p>
    <w:p w14:paraId="10CC67EF">
      <w:pPr>
        <w:pStyle w:val="4"/>
        <w:keepNext w:val="0"/>
        <w:keepLines w:val="0"/>
        <w:pageBreakBefore w:val="0"/>
        <w:widowControl w:val="0"/>
        <w:kinsoku/>
        <w:overflowPunct/>
        <w:topLinePunct w:val="0"/>
        <w:autoSpaceDE/>
        <w:autoSpaceDN/>
        <w:bidi w:val="0"/>
        <w:spacing w:beforeAutospacing="0" w:afterAutospacing="0" w:line="600" w:lineRule="exact"/>
        <w:ind w:left="0" w:leftChars="0" w:firstLine="0" w:firstLineChars="0"/>
        <w:textAlignment w:val="auto"/>
        <w:rPr>
          <w:rFonts w:hint="eastAsia"/>
          <w:color w:val="000000" w:themeColor="text1"/>
          <w:lang w:val="en-US" w:eastAsia="zh-CN"/>
          <w14:textFill>
            <w14:solidFill>
              <w14:schemeClr w14:val="tx1"/>
            </w14:solidFill>
          </w14:textFill>
        </w:rPr>
      </w:pPr>
    </w:p>
    <w:p w14:paraId="052ECB17">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single"/>
          <w:lang w:val="en-US" w:eastAsia="zh-CN"/>
          <w14:textFill>
            <w14:solidFill>
              <w14:schemeClr w14:val="tx1"/>
            </w14:solidFill>
          </w14:textFill>
        </w:rPr>
        <w:t xml:space="preserve">            </w:t>
      </w:r>
      <w:r>
        <w:rPr>
          <w:rFonts w:hint="eastAsia" w:ascii="仿宋_GB2312" w:eastAsia="仿宋_GB2312"/>
          <w:color w:val="000000" w:themeColor="text1"/>
          <w:sz w:val="32"/>
          <w:szCs w:val="32"/>
          <w:lang w:val="en-US" w:eastAsia="zh-CN"/>
          <w14:textFill>
            <w14:solidFill>
              <w14:schemeClr w14:val="tx1"/>
            </w14:solidFill>
          </w14:textFill>
        </w:rPr>
        <w:t>（旗县区）民政局</w:t>
      </w:r>
      <w:r>
        <w:rPr>
          <w:rFonts w:hint="eastAsia" w:ascii="仿宋_GB2312" w:eastAsia="仿宋_GB2312"/>
          <w:color w:val="000000" w:themeColor="text1"/>
          <w:sz w:val="32"/>
          <w:szCs w:val="32"/>
          <w14:textFill>
            <w14:solidFill>
              <w14:schemeClr w14:val="tx1"/>
            </w14:solidFill>
          </w14:textFill>
        </w:rPr>
        <w:t>：</w:t>
      </w:r>
    </w:p>
    <w:p w14:paraId="163B746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我单位自愿参加巴彦淖尔市2026年</w:t>
      </w:r>
      <w:r>
        <w:rPr>
          <w:rFonts w:hint="eastAsia" w:ascii="CESI仿宋-GB2312" w:hAnsi="CESI仿宋-GB2312" w:eastAsia="CESI仿宋-GB2312" w:cs="CESI仿宋-GB2312"/>
          <w:color w:val="auto"/>
          <w:sz w:val="32"/>
          <w:szCs w:val="32"/>
          <w:highlight w:val="none"/>
          <w:lang w:eastAsia="zh-CN"/>
        </w:rPr>
        <w:t>适老化家居</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购新补贴活动，了解并遵守以下规则要求：</w:t>
      </w:r>
    </w:p>
    <w:p w14:paraId="014903C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一、承诺以下事项</w:t>
      </w:r>
    </w:p>
    <w:p w14:paraId="70E96406">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严格遵守国家、自治区及巴彦淖尔市2026年智能家居（含适老化家居）购新补贴工作的相关规定和后续配套政策，并认真实施。本承诺书自签署之日起生效，此前与本次活动相关的承诺文件同时废止，相关申报与执行工作以本承诺书为准。</w:t>
      </w:r>
    </w:p>
    <w:p w14:paraId="0FC6E2A0">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2.能够做好补贴产品销售价格备案，能够公开承诺最终销售价格不高于备案价格，在经营场所、网页等显著位置逐项明标每款产品初始销售价格、商家优惠让利金额、可享受补贴资金数额等</w:t>
      </w:r>
      <w:r>
        <w:rPr>
          <w:rFonts w:hint="eastAsia" w:ascii="仿宋_GB2312" w:hAnsi="仿宋_GB2312" w:eastAsia="仿宋_GB2312" w:cs="仿宋_GB2312"/>
          <w:kern w:val="2"/>
          <w:sz w:val="32"/>
          <w:szCs w:val="32"/>
          <w:lang w:val="en-US" w:eastAsia="zh-CN" w:bidi="ar-SA"/>
        </w:rPr>
        <w:t>。</w:t>
      </w:r>
    </w:p>
    <w:p w14:paraId="21FC0B8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3.加强销售网点现场管理，杜绝商场内出现非法中介人员或驻店厂商人员向适老化家居产品购买人兜售旧机或消费券。</w:t>
      </w:r>
    </w:p>
    <w:p w14:paraId="20A3C3D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4.在消费者核销购买商品时，</w:t>
      </w:r>
      <w:r>
        <w:rPr>
          <w:rFonts w:hint="eastAsia" w:ascii="仿宋_GB2312" w:hAnsi="仿宋_GB2312" w:eastAsia="仿宋_GB2312" w:cs="仿宋_GB2312"/>
          <w:sz w:val="32"/>
          <w:szCs w:val="32"/>
        </w:rPr>
        <w:t>仅</w:t>
      </w:r>
      <w:r>
        <w:rPr>
          <w:rFonts w:hint="eastAsia" w:ascii="仿宋_GB2312" w:hAnsi="仿宋_GB2312" w:eastAsia="仿宋_GB2312" w:cs="仿宋_GB2312"/>
          <w:sz w:val="32"/>
          <w:szCs w:val="32"/>
          <w:lang w:eastAsia="zh-CN"/>
        </w:rPr>
        <w:t>用于</w:t>
      </w:r>
      <w:r>
        <w:rPr>
          <w:rFonts w:hint="eastAsia" w:ascii="仿宋_GB2312" w:hAnsi="仿宋_GB2312" w:eastAsia="仿宋_GB2312" w:cs="仿宋_GB2312"/>
          <w:sz w:val="32"/>
          <w:szCs w:val="32"/>
        </w:rPr>
        <w:t>政策规定的品类，不得用于其他类商品优惠</w:t>
      </w:r>
      <w:r>
        <w:rPr>
          <w:rFonts w:hint="eastAsia" w:ascii="仿宋_GB2312" w:hAnsi="仿宋_GB2312" w:eastAsia="仿宋_GB2312" w:cs="仿宋_GB2312"/>
          <w:sz w:val="32"/>
          <w:szCs w:val="32"/>
          <w:lang w:eastAsia="zh-CN"/>
        </w:rPr>
        <w:t>，并承诺所参加商品均为国家标准</w:t>
      </w:r>
      <w:r>
        <w:rPr>
          <w:rFonts w:hint="eastAsia" w:ascii="仿宋_GB2312" w:hAnsi="仿宋_GB2312" w:eastAsia="仿宋_GB2312" w:cs="仿宋_GB2312"/>
          <w:color w:val="auto"/>
          <w:sz w:val="32"/>
          <w:szCs w:val="32"/>
          <w:lang w:eastAsia="zh-CN"/>
        </w:rPr>
        <w:t>的合格产品。如有假冒伪劣产品行为，</w:t>
      </w:r>
      <w:r>
        <w:rPr>
          <w:rFonts w:hint="eastAsia" w:ascii="仿宋_GB2312" w:hAnsi="仿宋_GB2312" w:eastAsia="仿宋_GB2312" w:cs="仿宋_GB2312"/>
          <w:sz w:val="32"/>
          <w:szCs w:val="32"/>
        </w:rPr>
        <w:t>一经发现，</w:t>
      </w:r>
      <w:r>
        <w:rPr>
          <w:rFonts w:hint="eastAsia" w:ascii="仿宋_GB2312" w:hAnsi="仿宋_GB2312" w:eastAsia="仿宋_GB2312" w:cs="仿宋_GB2312"/>
          <w:sz w:val="32"/>
          <w:szCs w:val="32"/>
          <w:lang w:eastAsia="zh-CN"/>
        </w:rPr>
        <w:t>主办方可</w:t>
      </w:r>
      <w:r>
        <w:rPr>
          <w:rFonts w:hint="eastAsia" w:ascii="仿宋_GB2312" w:hAnsi="仿宋_GB2312" w:eastAsia="仿宋_GB2312" w:cs="仿宋_GB2312"/>
          <w:sz w:val="32"/>
          <w:szCs w:val="32"/>
        </w:rPr>
        <w:t>立刻取消</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活动参与资格</w:t>
      </w:r>
      <w:r>
        <w:rPr>
          <w:rFonts w:hint="eastAsia" w:ascii="仿宋_GB2312" w:hAnsi="仿宋_GB2312" w:eastAsia="仿宋_GB2312" w:cs="仿宋_GB2312"/>
          <w:sz w:val="32"/>
          <w:szCs w:val="32"/>
          <w:lang w:eastAsia="zh-CN"/>
        </w:rPr>
        <w:t>，向企业</w:t>
      </w:r>
      <w:r>
        <w:rPr>
          <w:rFonts w:hint="eastAsia" w:ascii="仿宋_GB2312" w:hAnsi="仿宋_GB2312" w:eastAsia="仿宋_GB2312" w:cs="仿宋_GB2312"/>
          <w:sz w:val="32"/>
          <w:szCs w:val="32"/>
          <w:lang w:val="en-US" w:eastAsia="zh-CN"/>
        </w:rPr>
        <w:t>追回违规发放资金并将企业列入失信名单。</w:t>
      </w:r>
    </w:p>
    <w:p w14:paraId="5138AFB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5.诚信经营，保证商品质量和服务质量，杜绝假冒伪劣、以次充好、以旧充新的产品进入市场流通。</w:t>
      </w:r>
      <w:r>
        <w:rPr>
          <w:rFonts w:hint="eastAsia" w:ascii="仿宋_GB2312" w:hAnsi="仿宋_GB2312" w:eastAsia="仿宋_GB2312" w:cs="仿宋_GB2312"/>
          <w:sz w:val="32"/>
          <w:szCs w:val="32"/>
        </w:rPr>
        <w:t>主动制止任何方式套取财政资金</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违反活动规则、恶意骗取优惠的行为。</w:t>
      </w:r>
    </w:p>
    <w:p w14:paraId="27896008">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sz w:val="32"/>
          <w:szCs w:val="32"/>
        </w:rPr>
        <w:t>按要求布放活动</w:t>
      </w:r>
      <w:r>
        <w:rPr>
          <w:rFonts w:hint="eastAsia" w:ascii="仿宋_GB2312" w:hAnsi="仿宋_GB2312" w:eastAsia="仿宋_GB2312" w:cs="仿宋_GB2312"/>
          <w:sz w:val="32"/>
          <w:szCs w:val="32"/>
          <w:lang w:val="en-US" w:eastAsia="zh-CN"/>
        </w:rPr>
        <w:t>宣传物料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须提供不少于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种宣传物料支持，如海报、收银台台卡等。</w:t>
      </w:r>
      <w:r>
        <w:rPr>
          <w:rFonts w:hint="eastAsia" w:ascii="仿宋_GB2312" w:hAnsi="仿宋_GB2312" w:eastAsia="仿宋_GB2312" w:cs="仿宋_GB2312"/>
          <w:sz w:val="32"/>
          <w:szCs w:val="32"/>
          <w:lang w:val="en-US" w:eastAsia="zh-CN"/>
        </w:rPr>
        <w:t>主办方</w:t>
      </w:r>
      <w:r>
        <w:rPr>
          <w:rFonts w:hint="eastAsia" w:ascii="仿宋_GB2312" w:hAnsi="仿宋_GB2312" w:eastAsia="仿宋_GB2312" w:cs="仿宋_GB2312"/>
          <w:sz w:val="32"/>
          <w:szCs w:val="32"/>
        </w:rPr>
        <w:t>有权在自有宣传渠道免费使用商户商标、标志、标识和店铺图片等用于本次活动宣传，自有宣传渠道不限于短信、微信、官网等。</w:t>
      </w:r>
      <w:r>
        <w:rPr>
          <w:rFonts w:hint="eastAsia" w:ascii="仿宋_GB2312" w:hAnsi="仿宋_GB2312" w:eastAsia="仿宋_GB2312" w:cs="仿宋_GB2312"/>
          <w:sz w:val="32"/>
          <w:szCs w:val="32"/>
          <w:lang w:val="en-US" w:eastAsia="zh-CN"/>
        </w:rPr>
        <w:t>本单位</w:t>
      </w:r>
      <w:r>
        <w:rPr>
          <w:rFonts w:hint="eastAsia" w:ascii="仿宋_GB2312" w:hAnsi="仿宋_GB2312" w:eastAsia="仿宋_GB2312" w:cs="仿宋_GB2312"/>
          <w:sz w:val="32"/>
          <w:szCs w:val="32"/>
        </w:rPr>
        <w:t>保证所提供的图片未侵犯他人的任何权利。</w:t>
      </w:r>
    </w:p>
    <w:p w14:paraId="100E472F">
      <w:pPr>
        <w:keepNext w:val="0"/>
        <w:keepLines w:val="0"/>
        <w:pageBreakBefore w:val="0"/>
        <w:widowControl/>
        <w:suppressLineNumbers w:val="0"/>
        <w:kinsoku/>
        <w:overflowPunct/>
        <w:topLinePunct w:val="0"/>
        <w:autoSpaceDE/>
        <w:autoSpaceDN/>
        <w:bidi w:val="0"/>
        <w:spacing w:beforeAutospacing="0" w:afterAutospacing="0" w:line="600" w:lineRule="exact"/>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7.承诺规范使用补贴资金，保留相应的核销凭证资料，形成台账，并及时将相关材料（</w:t>
      </w:r>
      <w:r>
        <w:rPr>
          <w:rFonts w:hint="eastAsia" w:ascii="仿宋_GB2312" w:hAnsi="仿宋_GB2312" w:eastAsia="仿宋_GB2312" w:cs="仿宋_GB2312"/>
          <w:sz w:val="32"/>
          <w:szCs w:val="32"/>
          <w:lang w:val="en-US" w:eastAsia="zh-CN"/>
        </w:rPr>
        <w:t>签购单、发票图片、外部订单号、交易日期、交易发票、购买数量、发票金额、税额、商品类型、进销台账、收货地址、</w:t>
      </w:r>
      <w:r>
        <w:rPr>
          <w:rFonts w:hint="eastAsia" w:ascii="仿宋_GB2312" w:hAnsi="仿宋_GB2312" w:eastAsia="仿宋_GB2312" w:cs="仿宋_GB2312"/>
          <w:sz w:val="32"/>
          <w:szCs w:val="32"/>
          <w:highlight w:val="none"/>
          <w:lang w:val="en-US" w:eastAsia="zh-CN"/>
        </w:rPr>
        <w:t>消费者签字确认的送货安装单）</w:t>
      </w:r>
      <w:r>
        <w:rPr>
          <w:rFonts w:hint="eastAsia" w:ascii="仿宋_GB2312" w:hAnsi="仿宋_GB2312" w:eastAsia="仿宋_GB2312" w:cs="仿宋_GB2312"/>
          <w:kern w:val="2"/>
          <w:sz w:val="32"/>
          <w:szCs w:val="32"/>
          <w:lang w:val="en-US" w:eastAsia="zh-CN" w:bidi="ar-SA"/>
        </w:rPr>
        <w:t>等按要求提交审计平台，在第三方审计时配合提供其他必要的审计材料。做好清算工作，按规定退回不符合条件的补贴资金。</w:t>
      </w:r>
    </w:p>
    <w:p w14:paraId="53CA045E">
      <w:pPr>
        <w:keepNext w:val="0"/>
        <w:keepLines w:val="0"/>
        <w:pageBreakBefore w:val="0"/>
        <w:widowControl/>
        <w:numPr>
          <w:ilvl w:val="0"/>
          <w:numId w:val="1"/>
        </w:numPr>
        <w:suppressLineNumbers w:val="0"/>
        <w:kinsoku/>
        <w:overflowPunct/>
        <w:topLinePunct w:val="0"/>
        <w:autoSpaceDE/>
        <w:autoSpaceDN/>
        <w:bidi w:val="0"/>
        <w:spacing w:before="0" w:beforeAutospacing="0" w:after="0" w:afterAutospacing="0" w:line="600" w:lineRule="exact"/>
        <w:ind w:left="0" w:hanging="360"/>
        <w:jc w:val="lef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sz w:val="32"/>
          <w:szCs w:val="32"/>
          <w:highlight w:val="none"/>
          <w:lang w:val="en-US" w:eastAsia="zh-CN"/>
        </w:rPr>
        <w:t>8.发票开具必须规范：</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购买方信息中名称必须是申请补贴消费者姓名；</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统一社会信用代码/纳税人识别号必须是申请补贴消费者身份证号；项目名称必须是和POS小票一致的商品名称；规格型号、数量、单位必须填写齐全；备注栏必须填写以下内容：购买方地址、电话、商品条形码（SN码）、产品类型（智能家居类/适老化家居类）、品牌、能效/水效等级（智能家居类产品中有能效或水效标识的须为1级能效或水效标准）、客户自付金额、政府补贴金额；每张发票只能开与POS小票匹配的一件商品，同一客户同时购买多件商品，必须分开开票。</w:t>
      </w:r>
    </w:p>
    <w:p w14:paraId="0E50C28B">
      <w:pPr>
        <w:keepNext w:val="0"/>
        <w:keepLines w:val="0"/>
        <w:pageBreakBefore w:val="0"/>
        <w:widowControl/>
        <w:numPr>
          <w:ilvl w:val="0"/>
          <w:numId w:val="1"/>
        </w:numPr>
        <w:suppressLineNumbers w:val="0"/>
        <w:kinsoku/>
        <w:overflowPunct/>
        <w:topLinePunct w:val="0"/>
        <w:autoSpaceDE/>
        <w:autoSpaceDN/>
        <w:bidi w:val="0"/>
        <w:spacing w:before="0" w:beforeAutospacing="0" w:after="0" w:afterAutospacing="0" w:line="600" w:lineRule="exact"/>
        <w:ind w:left="0" w:hanging="360"/>
        <w:jc w:val="lef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9.账务必须建全，购进货物必须及时足额取得进货发票，保证进、销、存一致性，同时保证财务报表、纳税申报表和申报补贴数据一致、真实可查。</w:t>
      </w:r>
    </w:p>
    <w:p w14:paraId="56F98EE0">
      <w:pPr>
        <w:pStyle w:val="2"/>
        <w:keepNext w:val="0"/>
        <w:keepLines w:val="0"/>
        <w:pageBreakBefore w:val="0"/>
        <w:kinsoku/>
        <w:overflowPunct/>
        <w:topLinePunct w:val="0"/>
        <w:autoSpaceDE/>
        <w:autoSpaceDN/>
        <w:bidi w:val="0"/>
        <w:spacing w:beforeAutospacing="0" w:afterAutospacing="0" w:line="600" w:lineRule="exact"/>
        <w:ind w:left="0" w:leftChars="0" w:firstLine="0" w:firstLineChars="0"/>
        <w:textAlignment w:val="auto"/>
        <w:rPr>
          <w:rFonts w:hint="eastAsia"/>
          <w:lang w:val="en-US" w:eastAsia="zh-CN"/>
        </w:rPr>
      </w:pPr>
      <w:r>
        <w:rPr>
          <w:rFonts w:hint="eastAsia" w:ascii="仿宋_GB2312" w:hAnsi="仿宋_GB2312" w:eastAsia="仿宋_GB2312" w:cs="仿宋_GB2312"/>
          <w:sz w:val="32"/>
          <w:szCs w:val="32"/>
          <w:highlight w:val="none"/>
          <w:lang w:val="en-US" w:eastAsia="zh-CN"/>
        </w:rPr>
        <w:t xml:space="preserve">    10.核销凭证资料须同时留存纸质档案，纸质档案要求清晰完整，随时可查。</w:t>
      </w:r>
    </w:p>
    <w:p w14:paraId="43E7612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color w:val="000000" w:themeColor="text1"/>
          <w:spacing w:val="0"/>
          <w:kern w:val="2"/>
          <w:sz w:val="32"/>
          <w:szCs w:val="32"/>
          <w:lang w:val="en-US" w:eastAsia="zh-CN" w:bidi="ar-SA"/>
          <w14:textFill>
            <w14:solidFill>
              <w14:schemeClr w14:val="tx1"/>
            </w14:solidFill>
          </w14:textFill>
        </w:rPr>
        <w:t>11.自愿参与并有一定的垫资能力，愿意先行垫付政府补贴资金</w:t>
      </w:r>
      <w:r>
        <w:rPr>
          <w:rFonts w:hint="eastAsia" w:ascii="仿宋_GB2312" w:hAnsi="仿宋_GB2312" w:eastAsia="仿宋_GB2312" w:cs="仿宋_GB2312"/>
          <w:b w:val="0"/>
          <w:bCs w:val="0"/>
          <w:sz w:val="32"/>
          <w:szCs w:val="32"/>
          <w:highlight w:val="none"/>
          <w:lang w:val="en-US" w:eastAsia="zh-CN"/>
        </w:rPr>
        <w:t>。</w:t>
      </w:r>
    </w:p>
    <w:p w14:paraId="5068BD6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主动制止任何方式套取补贴资金的违反活动规则、恶意骗取优惠的行为。承诺全力配合主办方及服务平台相关套利防控措施，确保消费者本人领取和使用，预防并制止“黄牛”等恶意套利行为，对于疑似“黄牛”等企图套利人员采取警告、劝退、报警等及时有效的防控措施。后续要配合主办方对疑似“黄牛”等套现行为给予积极配合调查，一经查实确有“黄牛”等恶意套利行为的，一律由参与活动的市场主体方承担违约责任，并且向主办方先行退还多补的政府补贴资金，并保留向违规商家追索赔偿权利。上述行为一经发现，主办方可立刻取消企业活动参与资格，向企业追回违规发放资金并将企业列入失信名单。</w:t>
      </w:r>
    </w:p>
    <w:p w14:paraId="31665C7F">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eastAsia="zh-CN"/>
        </w:rPr>
        <w:t>主办</w:t>
      </w:r>
      <w:r>
        <w:rPr>
          <w:rFonts w:hint="eastAsia" w:ascii="仿宋_GB2312" w:hAnsi="仿宋_GB2312" w:eastAsia="仿宋_GB2312" w:cs="仿宋_GB2312"/>
          <w:sz w:val="32"/>
          <w:szCs w:val="32"/>
          <w:lang w:val="en-US" w:eastAsia="zh-CN"/>
        </w:rPr>
        <w:t>方有权</w:t>
      </w:r>
      <w:r>
        <w:rPr>
          <w:rFonts w:hint="eastAsia" w:ascii="仿宋_GB2312" w:hAnsi="仿宋_GB2312" w:eastAsia="仿宋_GB2312" w:cs="仿宋_GB2312"/>
          <w:sz w:val="32"/>
          <w:szCs w:val="32"/>
        </w:rPr>
        <w:t>通过后台技术手段监测营销活动实施，如发现商</w:t>
      </w:r>
      <w:r>
        <w:rPr>
          <w:rFonts w:hint="eastAsia" w:ascii="仿宋_GB2312" w:hAnsi="仿宋_GB2312" w:eastAsia="仿宋_GB2312" w:cs="仿宋_GB2312"/>
          <w:sz w:val="32"/>
          <w:szCs w:val="32"/>
          <w:lang w:val="en-US" w:eastAsia="zh-CN"/>
        </w:rPr>
        <w:t>家存在</w:t>
      </w:r>
      <w:r>
        <w:rPr>
          <w:rFonts w:hint="eastAsia" w:ascii="仿宋_GB2312" w:hAnsi="仿宋_GB2312" w:eastAsia="仿宋_GB2312" w:cs="仿宋_GB2312"/>
          <w:kern w:val="2"/>
          <w:sz w:val="32"/>
          <w:szCs w:val="32"/>
          <w:lang w:val="en-US" w:eastAsia="zh-CN" w:bidi="ar-SA"/>
        </w:rPr>
        <w:t>作弊舞弊、利用不正</w:t>
      </w:r>
      <w:r>
        <w:rPr>
          <w:rFonts w:hint="eastAsia" w:ascii="仿宋_GB2312" w:hAnsi="仿宋_GB2312" w:eastAsia="仿宋_GB2312" w:cs="仿宋_GB2312"/>
          <w:sz w:val="32"/>
          <w:szCs w:val="32"/>
        </w:rPr>
        <w:t>当手段（包括但不限于刷单、套现、提供虚假证件或发票、虚假交易</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非面对面扫码交易</w:t>
      </w:r>
      <w:r>
        <w:rPr>
          <w:rFonts w:hint="eastAsia" w:ascii="仿宋_GB2312" w:hAnsi="仿宋_GB2312" w:eastAsia="仿宋_GB2312" w:cs="仿宋_GB2312"/>
          <w:sz w:val="32"/>
          <w:szCs w:val="32"/>
        </w:rPr>
        <w:t>等）骗取套取补贴资金等违法违规行为，</w:t>
      </w:r>
      <w:r>
        <w:rPr>
          <w:rFonts w:hint="eastAsia" w:ascii="仿宋_GB2312" w:hAnsi="仿宋_GB2312" w:eastAsia="仿宋_GB2312" w:cs="仿宋_GB2312"/>
          <w:sz w:val="32"/>
          <w:szCs w:val="32"/>
          <w:lang w:eastAsia="zh-CN"/>
        </w:rPr>
        <w:t>主办方</w:t>
      </w:r>
      <w:r>
        <w:rPr>
          <w:rFonts w:hint="eastAsia" w:ascii="仿宋_GB2312" w:hAnsi="仿宋_GB2312" w:eastAsia="仿宋_GB2312" w:cs="仿宋_GB2312"/>
          <w:sz w:val="32"/>
          <w:szCs w:val="32"/>
        </w:rPr>
        <w:t>立即收回已发全部补贴资金，并取消企业和补贴对象参与后续活动的资格。具体判定依据和结果以</w:t>
      </w:r>
      <w:r>
        <w:rPr>
          <w:rFonts w:hint="eastAsia" w:ascii="仿宋_GB2312" w:hAnsi="仿宋_GB2312" w:eastAsia="仿宋_GB2312" w:cs="仿宋_GB2312"/>
          <w:sz w:val="32"/>
          <w:szCs w:val="32"/>
          <w:lang w:val="en-US" w:eastAsia="zh-CN"/>
        </w:rPr>
        <w:t>主办方</w:t>
      </w:r>
      <w:r>
        <w:rPr>
          <w:rFonts w:hint="eastAsia" w:ascii="仿宋_GB2312" w:hAnsi="仿宋_GB2312" w:eastAsia="仿宋_GB2312" w:cs="仿宋_GB2312"/>
          <w:sz w:val="32"/>
          <w:szCs w:val="32"/>
        </w:rPr>
        <w:t>认定为准。</w:t>
      </w:r>
    </w:p>
    <w:p w14:paraId="75347D86">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因</w:t>
      </w:r>
      <w:r>
        <w:rPr>
          <w:rFonts w:hint="eastAsia" w:ascii="仿宋_GB2312" w:hAnsi="仿宋_GB2312" w:eastAsia="仿宋_GB2312" w:cs="仿宋_GB2312"/>
          <w:sz w:val="32"/>
          <w:szCs w:val="32"/>
          <w:lang w:val="en-US" w:eastAsia="zh-CN"/>
        </w:rPr>
        <w:t>本单位</w:t>
      </w:r>
      <w:r>
        <w:rPr>
          <w:rFonts w:hint="eastAsia" w:ascii="仿宋_GB2312" w:hAnsi="仿宋_GB2312" w:eastAsia="仿宋_GB2312" w:cs="仿宋_GB2312"/>
          <w:sz w:val="32"/>
          <w:szCs w:val="32"/>
        </w:rPr>
        <w:t>提供的服务及产品问题引发的用户投诉、处理和争议等，应</w:t>
      </w:r>
      <w:r>
        <w:rPr>
          <w:rFonts w:hint="eastAsia" w:ascii="仿宋_GB2312" w:hAnsi="仿宋_GB2312" w:eastAsia="仿宋_GB2312" w:cs="仿宋_GB2312"/>
          <w:sz w:val="32"/>
          <w:szCs w:val="32"/>
          <w:lang w:val="en-US" w:eastAsia="zh-CN"/>
        </w:rPr>
        <w:t>由本单位自行</w:t>
      </w:r>
      <w:r>
        <w:rPr>
          <w:rFonts w:hint="eastAsia" w:ascii="仿宋_GB2312" w:hAnsi="仿宋_GB2312" w:eastAsia="仿宋_GB2312" w:cs="仿宋_GB2312"/>
          <w:sz w:val="32"/>
          <w:szCs w:val="32"/>
        </w:rPr>
        <w:t>负责解决，</w:t>
      </w:r>
      <w:r>
        <w:rPr>
          <w:rFonts w:hint="eastAsia" w:ascii="仿宋_GB2312" w:hAnsi="仿宋_GB2312" w:eastAsia="仿宋_GB2312" w:cs="仿宋_GB2312"/>
          <w:sz w:val="32"/>
          <w:szCs w:val="32"/>
          <w:lang w:val="en-US" w:eastAsia="zh-CN"/>
        </w:rPr>
        <w:t>主办方</w:t>
      </w:r>
      <w:r>
        <w:rPr>
          <w:rFonts w:hint="eastAsia" w:ascii="仿宋_GB2312" w:hAnsi="仿宋_GB2312" w:eastAsia="仿宋_GB2312" w:cs="仿宋_GB2312"/>
          <w:sz w:val="32"/>
          <w:szCs w:val="32"/>
        </w:rPr>
        <w:t>不承担任何责任。</w:t>
      </w:r>
    </w:p>
    <w:p w14:paraId="64EEF57B">
      <w:pPr>
        <w:pStyle w:val="2"/>
        <w:keepNext w:val="0"/>
        <w:keepLines w:val="0"/>
        <w:pageBreakBefore w:val="0"/>
        <w:kinsoku/>
        <w:overflowPunct/>
        <w:topLinePunct w:val="0"/>
        <w:autoSpaceDE/>
        <w:autoSpaceDN/>
        <w:bidi w:val="0"/>
        <w:spacing w:beforeAutospacing="0" w:afterAutospacing="0" w:line="600" w:lineRule="exact"/>
        <w:ind w:left="0" w:leftChars="0" w:firstLine="640" w:firstLineChars="200"/>
        <w:textAlignment w:val="auto"/>
        <w:rPr>
          <w:rFonts w:hint="default" w:eastAsia="仿宋_GB2312"/>
          <w:lang w:val="en-US" w:eastAsia="zh-CN"/>
        </w:rPr>
      </w:pPr>
      <w:r>
        <w:rPr>
          <w:rFonts w:hint="eastAsia" w:ascii="仿宋_GB2312" w:hAnsi="仿宋_GB2312" w:eastAsia="仿宋_GB2312" w:cs="仿宋_GB2312"/>
          <w:sz w:val="32"/>
          <w:szCs w:val="32"/>
          <w:lang w:val="en-US" w:eastAsia="zh-CN"/>
        </w:rPr>
        <w:t>15.同时参加两个或两个以上部门“以旧换新”活动的销售商户，杜绝发生同一个产品重复领取补贴。如有此行为，一经发现，主办方可立刻取消企业活动参与资格，向企业追回违规发放资金。</w:t>
      </w:r>
    </w:p>
    <w:p w14:paraId="1B9907F7">
      <w:pPr>
        <w:keepNext w:val="0"/>
        <w:keepLines w:val="0"/>
        <w:pageBreakBefore w:val="0"/>
        <w:widowControl w:val="0"/>
        <w:tabs>
          <w:tab w:val="left" w:pos="0"/>
          <w:tab w:val="left" w:pos="901"/>
        </w:tabs>
        <w:kinsoku/>
        <w:wordWrap w:val="0"/>
        <w:overflowPunct/>
        <w:topLinePunct w:val="0"/>
        <w:autoSpaceDE/>
        <w:autoSpaceDN/>
        <w:bidi w:val="0"/>
        <w:adjustRightInd w:val="0"/>
        <w:snapToGrid w:val="0"/>
        <w:spacing w:beforeAutospacing="0" w:afterAutospacing="0" w:line="600" w:lineRule="exact"/>
        <w:ind w:right="960"/>
        <w:jc w:val="center"/>
        <w:textAlignment w:val="auto"/>
        <w:rPr>
          <w:rFonts w:hint="eastAsia" w:ascii="仿宋_GB2312" w:eastAsia="仿宋_GB2312"/>
          <w:sz w:val="32"/>
          <w:szCs w:val="32"/>
          <w:lang w:eastAsia="zh-CN"/>
        </w:rPr>
      </w:pPr>
    </w:p>
    <w:p w14:paraId="07AA77CA">
      <w:pPr>
        <w:keepNext w:val="0"/>
        <w:keepLines w:val="0"/>
        <w:pageBreakBefore w:val="0"/>
        <w:widowControl w:val="0"/>
        <w:tabs>
          <w:tab w:val="left" w:pos="0"/>
          <w:tab w:val="left" w:pos="901"/>
        </w:tabs>
        <w:kinsoku/>
        <w:wordWrap w:val="0"/>
        <w:overflowPunct/>
        <w:topLinePunct w:val="0"/>
        <w:autoSpaceDE/>
        <w:autoSpaceDN/>
        <w:bidi w:val="0"/>
        <w:adjustRightInd w:val="0"/>
        <w:snapToGrid w:val="0"/>
        <w:spacing w:beforeAutospacing="0" w:afterAutospacing="0" w:line="600" w:lineRule="exact"/>
        <w:ind w:right="960"/>
        <w:jc w:val="center"/>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负责人（签字）：</w:t>
      </w: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企业</w:t>
      </w:r>
      <w:r>
        <w:rPr>
          <w:rFonts w:hint="eastAsia" w:ascii="仿宋_GB2312" w:eastAsia="仿宋_GB2312"/>
          <w:sz w:val="32"/>
          <w:szCs w:val="32"/>
        </w:rPr>
        <w:t>名称（盖章）：</w:t>
      </w:r>
    </w:p>
    <w:p w14:paraId="3B17ED33">
      <w:pPr>
        <w:keepNext w:val="0"/>
        <w:keepLines w:val="0"/>
        <w:pageBreakBefore w:val="0"/>
        <w:widowControl w:val="0"/>
        <w:kinsoku/>
        <w:wordWrap w:val="0"/>
        <w:overflowPunct/>
        <w:topLinePunct w:val="0"/>
        <w:autoSpaceDE/>
        <w:autoSpaceDN/>
        <w:bidi w:val="0"/>
        <w:adjustRightInd w:val="0"/>
        <w:snapToGrid w:val="0"/>
        <w:spacing w:beforeAutospacing="0" w:afterAutospacing="0" w:line="600" w:lineRule="exact"/>
        <w:ind w:firstLine="640" w:firstLineChars="200"/>
        <w:jc w:val="both"/>
        <w:textAlignment w:val="auto"/>
        <w:outlineLvl w:val="1"/>
      </w:pPr>
      <w:r>
        <w:rPr>
          <w:rFonts w:hint="eastAsia" w:ascii="仿宋_GB2312" w:eastAsia="仿宋_GB2312"/>
          <w:sz w:val="32"/>
          <w:szCs w:val="32"/>
          <w:lang w:val="en-US" w:eastAsia="zh-CN"/>
        </w:rPr>
        <w:t xml:space="preserve">                        </w:t>
      </w:r>
      <w:r>
        <w:rPr>
          <w:rFonts w:ascii="仿宋_GB2312" w:eastAsia="仿宋_GB2312"/>
          <w:sz w:val="32"/>
          <w:szCs w:val="32"/>
        </w:rPr>
        <w:t>2</w:t>
      </w:r>
      <w:r>
        <w:rPr>
          <w:rFonts w:hint="eastAsia" w:ascii="仿宋_GB2312" w:eastAsia="仿宋_GB2312"/>
          <w:sz w:val="32"/>
          <w:szCs w:val="32"/>
        </w:rPr>
        <w:t>0</w:t>
      </w:r>
      <w:r>
        <w:rPr>
          <w:rFonts w:ascii="仿宋_GB2312" w:eastAsia="仿宋_GB2312"/>
          <w:sz w:val="32"/>
          <w:szCs w:val="32"/>
        </w:rPr>
        <w:t>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ascii="仿宋_GB2312" w:eastAsia="仿宋_GB2312"/>
          <w:sz w:val="32"/>
          <w:szCs w:val="32"/>
        </w:rPr>
        <w:t>月</w:t>
      </w:r>
      <w:r>
        <w:rPr>
          <w:rFonts w:hint="eastAsia" w:ascii="仿宋_GB2312" w:eastAsia="仿宋_GB2312"/>
          <w:sz w:val="32"/>
          <w:szCs w:val="32"/>
          <w:lang w:val="en-US" w:eastAsia="zh-CN"/>
        </w:rPr>
        <w:t xml:space="preserve">  </w:t>
      </w:r>
      <w:r>
        <w:rPr>
          <w:rFonts w:ascii="仿宋_GB2312" w:eastAsia="仿宋_GB2312"/>
          <w:sz w:val="32"/>
          <w:szCs w:val="32"/>
        </w:rPr>
        <w:t>日</w:t>
      </w:r>
      <w:r>
        <w:rPr>
          <w:rFonts w:hint="eastAsia" w:ascii="仿宋_GB2312" w:eastAsia="仿宋_GB2312"/>
          <w:sz w:val="32"/>
          <w:szCs w:val="32"/>
          <w:lang w:val="en-US" w:eastAsia="zh-CN"/>
        </w:rPr>
        <w:t xml:space="preserve">   </w:t>
      </w:r>
    </w:p>
    <w:p w14:paraId="7DCC2FC2">
      <w:pPr>
        <w:keepNext w:val="0"/>
        <w:keepLines w:val="0"/>
        <w:pageBreakBefore w:val="0"/>
        <w:kinsoku/>
        <w:overflowPunct/>
        <w:topLinePunct w:val="0"/>
        <w:autoSpaceDE/>
        <w:autoSpaceDN/>
        <w:bidi w:val="0"/>
        <w:spacing w:beforeAutospacing="0" w:afterAutospacing="0" w:line="600" w:lineRule="exact"/>
        <w:textAlignment w:val="auto"/>
      </w:pPr>
    </w:p>
    <w:p w14:paraId="2996978D">
      <w:pPr>
        <w:keepNext w:val="0"/>
        <w:keepLines w:val="0"/>
        <w:pageBreakBefore w:val="0"/>
        <w:kinsoku/>
        <w:overflowPunct/>
        <w:topLinePunct w:val="0"/>
        <w:autoSpaceDE/>
        <w:autoSpaceDN/>
        <w:bidi w:val="0"/>
        <w:spacing w:beforeAutospacing="0" w:afterAutospacing="0" w:line="600" w:lineRule="exact"/>
        <w:textAlignment w:val="auto"/>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CESI仿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6F1E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0AB05">
                          <w:pPr>
                            <w:pStyle w:val="6"/>
                            <w:rPr>
                              <w:sz w:val="22"/>
                              <w:szCs w:val="36"/>
                            </w:rPr>
                          </w:pPr>
                          <w:r>
                            <w:rPr>
                              <w:sz w:val="22"/>
                              <w:szCs w:val="36"/>
                            </w:rPr>
                            <w:t xml:space="preserve">— </w:t>
                          </w: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r>
                            <w:rPr>
                              <w:sz w:val="22"/>
                              <w:szCs w:val="36"/>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80AB05">
                    <w:pPr>
                      <w:pStyle w:val="6"/>
                      <w:rPr>
                        <w:sz w:val="22"/>
                        <w:szCs w:val="36"/>
                      </w:rPr>
                    </w:pPr>
                    <w:r>
                      <w:rPr>
                        <w:sz w:val="22"/>
                        <w:szCs w:val="36"/>
                      </w:rPr>
                      <w:t xml:space="preserve">— </w:t>
                    </w: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r>
                      <w:rPr>
                        <w:sz w:val="22"/>
                        <w:szCs w:val="36"/>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AF448A"/>
    <w:multiLevelType w:val="multilevel"/>
    <w:tmpl w:val="FCAF448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4FFBA7A"/>
    <w:rsid w:val="05BA5392"/>
    <w:rsid w:val="0FCEBBED"/>
    <w:rsid w:val="1EBFEFBA"/>
    <w:rsid w:val="267E23C7"/>
    <w:rsid w:val="35A81EDD"/>
    <w:rsid w:val="3F5B7E2A"/>
    <w:rsid w:val="3FDF7DCD"/>
    <w:rsid w:val="47CBE802"/>
    <w:rsid w:val="4A1947CF"/>
    <w:rsid w:val="5BFF1345"/>
    <w:rsid w:val="5FC36421"/>
    <w:rsid w:val="6FA95E3C"/>
    <w:rsid w:val="71FF74B3"/>
    <w:rsid w:val="77A63372"/>
    <w:rsid w:val="79B7D7BC"/>
    <w:rsid w:val="7BD650FE"/>
    <w:rsid w:val="7D3EDE3E"/>
    <w:rsid w:val="7E74BFC3"/>
    <w:rsid w:val="7EB5738D"/>
    <w:rsid w:val="7F6DA856"/>
    <w:rsid w:val="7FEFE188"/>
    <w:rsid w:val="7FF743D3"/>
    <w:rsid w:val="7FF8004B"/>
    <w:rsid w:val="8FF8BF3F"/>
    <w:rsid w:val="A5E7CFD0"/>
    <w:rsid w:val="A6D77FD9"/>
    <w:rsid w:val="AFFB8E5C"/>
    <w:rsid w:val="BFA60E7C"/>
    <w:rsid w:val="CBDFFC92"/>
    <w:rsid w:val="CF4E438E"/>
    <w:rsid w:val="D74F4E6B"/>
    <w:rsid w:val="D7FF0B3F"/>
    <w:rsid w:val="D9F392C8"/>
    <w:rsid w:val="DBA58218"/>
    <w:rsid w:val="EBF787DB"/>
    <w:rsid w:val="ED3F1D60"/>
    <w:rsid w:val="ED792535"/>
    <w:rsid w:val="EEDF18FD"/>
    <w:rsid w:val="EF4FB2B9"/>
    <w:rsid w:val="F775FCCB"/>
    <w:rsid w:val="F7AF5B76"/>
    <w:rsid w:val="FC5660FF"/>
    <w:rsid w:val="FD3F26D8"/>
    <w:rsid w:val="FDBF174B"/>
    <w:rsid w:val="FDF180EF"/>
    <w:rsid w:val="FDFF8693"/>
    <w:rsid w:val="FE7B0794"/>
    <w:rsid w:val="FF3F8492"/>
    <w:rsid w:val="FFF3B9A7"/>
    <w:rsid w:val="FFFE73C4"/>
    <w:rsid w:val="FFFFE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ind w:firstLine="420" w:firstLineChars="200"/>
      <w:jc w:val="left"/>
    </w:pPr>
    <w:rPr>
      <w:rFonts w:ascii="Calibri" w:hAnsi="Calibri"/>
      <w:kern w:val="0"/>
      <w:sz w:val="24"/>
      <w:lang w:eastAsia="en-US" w:bidi="en-US"/>
    </w:rPr>
  </w:style>
  <w:style w:type="paragraph" w:styleId="3">
    <w:name w:val="Body Text Indent"/>
    <w:basedOn w:val="1"/>
    <w:next w:val="4"/>
    <w:qFormat/>
    <w:uiPriority w:val="0"/>
    <w:pPr>
      <w:ind w:left="420" w:leftChars="200"/>
    </w:pPr>
    <w:rPr>
      <w:rFonts w:ascii="Calibri" w:hAnsi="Calibri" w:eastAsia="宋体" w:cs="Times New Roman"/>
      <w:sz w:val="32"/>
      <w:szCs w:val="32"/>
    </w:rPr>
  </w:style>
  <w:style w:type="paragraph" w:styleId="4">
    <w:name w:val="Normal Indent"/>
    <w:basedOn w:val="1"/>
    <w:next w:val="1"/>
    <w:qFormat/>
    <w:uiPriority w:val="99"/>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1036</Words>
  <Characters>1064</Characters>
  <Lines>0</Lines>
  <Paragraphs>0</Paragraphs>
  <TotalTime>0</TotalTime>
  <ScaleCrop>false</ScaleCrop>
  <LinksUpToDate>false</LinksUpToDate>
  <CharactersWithSpaces>1106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2018-07-16T07:11:00Z</dcterms:created>
  <dc:creator>d</dc:creator>
  <cp:lastModifiedBy>丸子</cp:lastModifiedBy>
  <cp:lastPrinted>2025-12-25T17:31:00Z</cp:lastPrinted>
  <dcterms:modified xsi:type="dcterms:W3CDTF">2026-08-17T15:20:47Z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eyJoZGlkIjoiZGZmZTgwYWVhMGUzNjVjNmJkMGI4MzVkOTkwOWM3MTUiLCJ1c2VySWQiOiIzNDM3NjEyMDcifQ==</vt:lpwstr>
  </property>
  <property fmtid="{D5CDD505-2E9C-101B-9397-08002B2CF9AE}" pid="4" name="ICV">
    <vt:lpwstr>8D769A5113AE6DDD96BA7E6AC9A5DC30_43</vt:lpwstr>
  </property>
</Properties>
</file>